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EB00" w14:textId="77777777" w:rsidR="0011735E" w:rsidRPr="00355511" w:rsidRDefault="00C87C17" w:rsidP="00C87C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noProof/>
          <w:color w:val="000000"/>
          <w:lang w:eastAsia="hu-HU"/>
        </w:rPr>
        <w:drawing>
          <wp:anchor distT="0" distB="0" distL="114300" distR="114300" simplePos="0" relativeHeight="251659264" behindDoc="0" locked="0" layoutInCell="1" allowOverlap="1" wp14:anchorId="28C6E097" wp14:editId="70A2C88F">
            <wp:simplePos x="0" y="0"/>
            <wp:positionH relativeFrom="column">
              <wp:posOffset>5629275</wp:posOffset>
            </wp:positionH>
            <wp:positionV relativeFrom="paragraph">
              <wp:posOffset>-133350</wp:posOffset>
            </wp:positionV>
            <wp:extent cx="819150" cy="971324"/>
            <wp:effectExtent l="0" t="0" r="0" b="635"/>
            <wp:wrapNone/>
            <wp:docPr id="3" name="Kép 3" descr="C:\Users\Admin\AppData\Local\Microsoft\Windows\INetCache\Content.MSO\3B43D6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3B43D672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2FF50FA2" wp14:editId="67659317">
            <wp:simplePos x="0" y="0"/>
            <wp:positionH relativeFrom="column">
              <wp:posOffset>166370</wp:posOffset>
            </wp:positionH>
            <wp:positionV relativeFrom="paragraph">
              <wp:posOffset>-213995</wp:posOffset>
            </wp:positionV>
            <wp:extent cx="1080770" cy="1043305"/>
            <wp:effectExtent l="0" t="0" r="5080" b="4445"/>
            <wp:wrapNone/>
            <wp:docPr id="2" name="Kép 2" descr="C:\Users\Admin\Downloads\GondozásiTerv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C:\Users\Admin\Downloads\GondozásiTerv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3EC">
        <w:rPr>
          <w:rFonts w:ascii="Times New Roman" w:hAnsi="Times New Roman" w:cs="Times New Roman"/>
          <w:b/>
          <w:sz w:val="24"/>
          <w:szCs w:val="24"/>
        </w:rPr>
        <w:t>GONDOZÁSI</w:t>
      </w:r>
      <w:r w:rsidR="0061690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13EC">
        <w:rPr>
          <w:rFonts w:ascii="Times New Roman" w:hAnsi="Times New Roman" w:cs="Times New Roman"/>
          <w:b/>
          <w:sz w:val="24"/>
          <w:szCs w:val="24"/>
        </w:rPr>
        <w:t xml:space="preserve"> KÖZPONT</w:t>
      </w:r>
    </w:p>
    <w:p w14:paraId="103D4162" w14:textId="77777777" w:rsidR="009F72BA" w:rsidRDefault="004D13EC" w:rsidP="00C87C1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2626</w:t>
      </w:r>
      <w:r w:rsidR="00355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Nagymaros Vasút utca 6.</w:t>
      </w:r>
    </w:p>
    <w:p w14:paraId="19021309" w14:textId="77777777" w:rsidR="00355511" w:rsidRDefault="004D13EC" w:rsidP="00C87C1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+36-27 /354-022</w:t>
      </w:r>
      <w:r w:rsidR="009F4481">
        <w:rPr>
          <w:rFonts w:ascii="Times New Roman" w:hAnsi="Times New Roman" w:cs="Times New Roman"/>
          <w:sz w:val="24"/>
          <w:szCs w:val="24"/>
        </w:rPr>
        <w:t xml:space="preserve">; </w:t>
      </w:r>
      <w:r w:rsidR="00BE42A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2E0A8F">
          <w:rPr>
            <w:rStyle w:val="Hiperhivatkozs"/>
            <w:rFonts w:ascii="Times New Roman" w:hAnsi="Times New Roman" w:cs="Times New Roman"/>
            <w:sz w:val="24"/>
            <w:szCs w:val="24"/>
          </w:rPr>
          <w:t>ono@nagymaros.hu</w:t>
        </w:r>
      </w:hyperlink>
    </w:p>
    <w:p w14:paraId="7FA11037" w14:textId="77777777" w:rsidR="00BE42A3" w:rsidRDefault="00BE42A3" w:rsidP="006169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EC8C002" wp14:editId="367AE0B9">
            <wp:extent cx="6512783" cy="246380"/>
            <wp:effectExtent l="0" t="0" r="2540" b="1270"/>
            <wp:docPr id="1" name="Kép 1" descr="C:\Users\dolgozo\Pictures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lgozo\Pictures\image00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033" cy="26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F806EA" w14:textId="77777777" w:rsidR="00AA6361" w:rsidRDefault="00AA6361" w:rsidP="005A6A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2E1F71" w14:textId="77777777" w:rsidR="00556598" w:rsidRPr="00DA2F02" w:rsidRDefault="00575C0F" w:rsidP="005A6A10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02">
        <w:rPr>
          <w:rFonts w:ascii="Times New Roman" w:hAnsi="Times New Roman" w:cs="Times New Roman"/>
          <w:b/>
          <w:sz w:val="24"/>
          <w:szCs w:val="24"/>
        </w:rPr>
        <w:t>SWOT analízis</w:t>
      </w:r>
    </w:p>
    <w:tbl>
      <w:tblPr>
        <w:tblStyle w:val="Rcsostblzat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744"/>
        <w:gridCol w:w="4744"/>
      </w:tblGrid>
      <w:tr w:rsidR="003A7481" w14:paraId="6193D1AE" w14:textId="77777777" w:rsidTr="003A7481"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9031F" w14:textId="77777777" w:rsidR="003A7481" w:rsidRDefault="003A7481" w:rsidP="005A6A10">
            <w:pPr>
              <w:pStyle w:val="NormlWeb"/>
              <w:spacing w:before="0" w:before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ERŐSSÉGEK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9AAA3" w14:textId="77777777" w:rsidR="003A7481" w:rsidRDefault="003A7481" w:rsidP="005A6A10">
            <w:pPr>
              <w:pStyle w:val="NormlWeb"/>
              <w:spacing w:before="0" w:before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GYENGESÉGEK</w:t>
            </w:r>
          </w:p>
        </w:tc>
      </w:tr>
      <w:tr w:rsidR="003A7481" w14:paraId="7CDBB2EF" w14:textId="77777777" w:rsidTr="003A7481"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EF53" w14:textId="77777777" w:rsidR="003A7481" w:rsidRDefault="003A7481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Meglévő pénzügyi erőforrások hatékony felhasználása</w:t>
            </w:r>
          </w:p>
          <w:p w14:paraId="6FED51AA" w14:textId="77777777" w:rsidR="003A7481" w:rsidRDefault="003A7481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Nagy létszámú várólista</w:t>
            </w:r>
          </w:p>
          <w:p w14:paraId="7E62D32D" w14:textId="77777777" w:rsidR="005B4056" w:rsidRDefault="005B4056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Jelentős számú, fizetőképes érdeklődő az ország más területeiről</w:t>
            </w:r>
          </w:p>
          <w:p w14:paraId="304C5F42" w14:textId="77777777" w:rsidR="003A7481" w:rsidRDefault="003A7481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Jó kapcsolat a helyi szervezetekkel</w:t>
            </w:r>
          </w:p>
          <w:p w14:paraId="7CEF2ED4" w14:textId="77777777" w:rsidR="003A7481" w:rsidRDefault="003A7481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Fejlesztésre fogékony fenntartó és intézményvezetés</w:t>
            </w:r>
          </w:p>
          <w:p w14:paraId="7EE482A2" w14:textId="77777777" w:rsidR="003A7481" w:rsidRDefault="003A7481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 meglévő épület jó infrastruktúrá</w:t>
            </w:r>
            <w:r w:rsidR="005B4056">
              <w:rPr>
                <w:lang w:eastAsia="en-US"/>
              </w:rPr>
              <w:t>ja Pl. már rendelkezik lifttel</w:t>
            </w:r>
          </w:p>
          <w:p w14:paraId="1F74785D" w14:textId="77777777" w:rsidR="00556598" w:rsidRDefault="00556598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Saját gépjármű, amivel az idősek szállítása megoldható</w:t>
            </w:r>
          </w:p>
          <w:p w14:paraId="523A56D5" w14:textId="77777777" w:rsidR="005B4056" w:rsidRDefault="005B4056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 tetőtér részlegen van egy kétágyas szoba, ami házaspároknak ideális, a többi mind egyágyas</w:t>
            </w:r>
            <w:r w:rsidR="00C44367">
              <w:rPr>
                <w:lang w:eastAsia="en-US"/>
              </w:rPr>
              <w:t xml:space="preserve"> </w:t>
            </w:r>
          </w:p>
          <w:p w14:paraId="23221B6C" w14:textId="77777777" w:rsidR="00D114AC" w:rsidRDefault="00D60A71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 tetőtér 4 szobáj</w:t>
            </w:r>
            <w:r w:rsidR="00D114AC">
              <w:rPr>
                <w:lang w:eastAsia="en-US"/>
              </w:rPr>
              <w:t>a 2 fürdőszobával rendelkezik</w:t>
            </w:r>
          </w:p>
          <w:p w14:paraId="6E82C33E" w14:textId="77777777" w:rsidR="003A7481" w:rsidRDefault="003A7481" w:rsidP="005A6A10">
            <w:pPr>
              <w:pStyle w:val="NormlWeb"/>
              <w:spacing w:before="0" w:beforeAutospacing="0" w:afterAutospacing="0" w:line="360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0687" w14:textId="77777777" w:rsidR="003A7481" w:rsidRDefault="003A7481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Kevés férőhely</w:t>
            </w:r>
          </w:p>
          <w:p w14:paraId="08CC3D31" w14:textId="77777777" w:rsidR="003A7481" w:rsidRDefault="003A7481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Alacsony bentlakásos ellátotti létszám</w:t>
            </w:r>
          </w:p>
          <w:p w14:paraId="1E54339B" w14:textId="77777777" w:rsidR="005B4056" w:rsidRDefault="005B4056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Jelentős igény olyanok részéről, akik nem tudják az intézményi térítési díjat megfizetni</w:t>
            </w:r>
          </w:p>
          <w:p w14:paraId="1F4C7AA2" w14:textId="77777777" w:rsidR="005B4056" w:rsidRDefault="005B4056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Ellátottak alacsony jövedelméből vonható 80%-ig térítési díj, mely szűkös bevételi forrásnak számít a kiadások viszonylatában</w:t>
            </w:r>
          </w:p>
          <w:p w14:paraId="54094A9A" w14:textId="77777777" w:rsidR="003A7481" w:rsidRDefault="003A7481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Kis alapterületű intézmény</w:t>
            </w:r>
          </w:p>
          <w:p w14:paraId="037FE72A" w14:textId="77777777" w:rsidR="003A7481" w:rsidRDefault="003A7481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Humánerőforrás hiányosságai</w:t>
            </w:r>
          </w:p>
          <w:p w14:paraId="5CD3FB57" w14:textId="77777777" w:rsidR="003A7481" w:rsidRDefault="003A7481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Szakemberek elvándorlása</w:t>
            </w:r>
          </w:p>
          <w:p w14:paraId="4B5E2494" w14:textId="77777777" w:rsidR="00556598" w:rsidRDefault="00556598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Kevés a nappali ellátást igénybevevő idős</w:t>
            </w:r>
            <w:r w:rsidR="007B46F2">
              <w:rPr>
                <w:lang w:eastAsia="en-US"/>
              </w:rPr>
              <w:t>, ennek egyik oka, hogy kívül esik a város központjától a G. Kp. épülete</w:t>
            </w:r>
          </w:p>
          <w:p w14:paraId="75AE11C9" w14:textId="77777777" w:rsidR="005B4056" w:rsidRDefault="005B4056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Az intézményben jelenleg egy olyan férőhely sincs kijelölve, amire belépési díjjal lehetne bekerülni</w:t>
            </w:r>
          </w:p>
          <w:p w14:paraId="31ED4BEC" w14:textId="77777777" w:rsidR="00C44367" w:rsidRDefault="00C44367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 gazdasági válság miatt a közeljövőben szűkös pályázati lehetőségek</w:t>
            </w:r>
          </w:p>
          <w:p w14:paraId="778678F8" w14:textId="77777777" w:rsidR="00D114AC" w:rsidRDefault="00D114AC" w:rsidP="005A6A10">
            <w:pPr>
              <w:pStyle w:val="NormlWeb"/>
              <w:numPr>
                <w:ilvl w:val="0"/>
                <w:numId w:val="1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Az épület energetikai feltételei nem felelnek meg az energiahatékony működésnek ( elavult fűtési rendszer, gyakran meghibásodó gázkazán, régi </w:t>
            </w:r>
            <w:r>
              <w:rPr>
                <w:lang w:eastAsia="en-US"/>
              </w:rPr>
              <w:lastRenderedPageBreak/>
              <w:t>öntöttvas radiátorok, amiket nem lehet szabályozni, napelemek hiánya, régi, nem hőszigetelt nyílászárók, amik ráadásul nem is minden helyen záródnak jól,)</w:t>
            </w:r>
          </w:p>
        </w:tc>
      </w:tr>
      <w:tr w:rsidR="003A7481" w14:paraId="635AE12B" w14:textId="77777777" w:rsidTr="003A7481"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C69F2" w14:textId="77777777" w:rsidR="003A7481" w:rsidRDefault="003A7481" w:rsidP="005A6A10">
            <w:pPr>
              <w:pStyle w:val="NormlWeb"/>
              <w:spacing w:before="0" w:before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LEHETŐSÉGEK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2AC7" w14:textId="77777777" w:rsidR="003A7481" w:rsidRDefault="003A7481" w:rsidP="005A6A10">
            <w:pPr>
              <w:pStyle w:val="NormlWeb"/>
              <w:spacing w:before="0" w:before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VESZÉLYEK</w:t>
            </w:r>
          </w:p>
        </w:tc>
      </w:tr>
      <w:tr w:rsidR="003A7481" w14:paraId="32429C89" w14:textId="77777777" w:rsidTr="003A7481"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D1666" w14:textId="77777777" w:rsidR="003A7481" w:rsidRDefault="003A7481" w:rsidP="005A6A10">
            <w:pPr>
              <w:pStyle w:val="NormlWeb"/>
              <w:numPr>
                <w:ilvl w:val="0"/>
                <w:numId w:val="2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Kiváló természeti adottságok</w:t>
            </w:r>
          </w:p>
          <w:p w14:paraId="49D1107C" w14:textId="77777777" w:rsidR="003A7481" w:rsidRDefault="003A7481" w:rsidP="005A6A10">
            <w:pPr>
              <w:pStyle w:val="NormlWeb"/>
              <w:numPr>
                <w:ilvl w:val="0"/>
                <w:numId w:val="2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Frekventált földrajzi terület</w:t>
            </w:r>
          </w:p>
          <w:p w14:paraId="74723F2F" w14:textId="77777777" w:rsidR="003A7481" w:rsidRDefault="003A7481" w:rsidP="005A6A10">
            <w:pPr>
              <w:pStyle w:val="NormlWeb"/>
              <w:numPr>
                <w:ilvl w:val="0"/>
                <w:numId w:val="2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Nagy létszámú érdeklődők </w:t>
            </w:r>
          </w:p>
          <w:p w14:paraId="5DEEDB9E" w14:textId="77777777" w:rsidR="003A7481" w:rsidRDefault="003A7481" w:rsidP="005A6A10">
            <w:pPr>
              <w:pStyle w:val="NormlWeb"/>
              <w:numPr>
                <w:ilvl w:val="0"/>
                <w:numId w:val="2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Innovatív jövőkép</w:t>
            </w:r>
          </w:p>
          <w:p w14:paraId="2F6C2BD1" w14:textId="77777777" w:rsidR="003A7481" w:rsidRDefault="003A7481" w:rsidP="005A6A10">
            <w:pPr>
              <w:pStyle w:val="NormlWeb"/>
              <w:numPr>
                <w:ilvl w:val="0"/>
                <w:numId w:val="2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Szupervízió</w:t>
            </w:r>
            <w:r w:rsidR="00D114AC">
              <w:rPr>
                <w:lang w:eastAsia="en-US"/>
              </w:rPr>
              <w:t>s lehetőség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9CE96" w14:textId="77777777" w:rsidR="003A7481" w:rsidRDefault="003A7481" w:rsidP="005A6A10">
            <w:pPr>
              <w:pStyle w:val="NormlWeb"/>
              <w:numPr>
                <w:ilvl w:val="0"/>
                <w:numId w:val="3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 szociális munka alacsony presztízse</w:t>
            </w:r>
          </w:p>
          <w:p w14:paraId="35D72C48" w14:textId="77777777" w:rsidR="003A7481" w:rsidRDefault="003A7481" w:rsidP="005A6A10">
            <w:pPr>
              <w:pStyle w:val="NormlWeb"/>
              <w:numPr>
                <w:ilvl w:val="0"/>
                <w:numId w:val="3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Munkaerő kiégése</w:t>
            </w:r>
          </w:p>
          <w:p w14:paraId="1ACA8D31" w14:textId="77777777" w:rsidR="003A7481" w:rsidRDefault="003A7481" w:rsidP="005A6A10">
            <w:pPr>
              <w:pStyle w:val="NormlWeb"/>
              <w:numPr>
                <w:ilvl w:val="0"/>
                <w:numId w:val="3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 meglévő munkatársak romló egészségügyi állapota</w:t>
            </w:r>
          </w:p>
          <w:p w14:paraId="67974BC4" w14:textId="77777777" w:rsidR="003A7481" w:rsidRDefault="003A7481" w:rsidP="005A6A10">
            <w:pPr>
              <w:pStyle w:val="NormlWeb"/>
              <w:numPr>
                <w:ilvl w:val="0"/>
                <w:numId w:val="3"/>
              </w:numPr>
              <w:spacing w:before="0" w:beforeAutospacing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Jogszabályi háttér változékonysága</w:t>
            </w:r>
          </w:p>
        </w:tc>
      </w:tr>
    </w:tbl>
    <w:p w14:paraId="407BF0B0" w14:textId="77777777" w:rsidR="003A7481" w:rsidRDefault="003A7481" w:rsidP="005A6A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D5D43" w14:textId="77777777" w:rsidR="00AA6361" w:rsidRDefault="00AA6361" w:rsidP="005A6A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FBE8F" w14:textId="77777777" w:rsidR="006731D0" w:rsidRPr="00DA2F02" w:rsidRDefault="002A769C" w:rsidP="005A6A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731D0" w:rsidRPr="00DA2F02">
        <w:rPr>
          <w:rFonts w:ascii="Times New Roman" w:hAnsi="Times New Roman" w:cs="Times New Roman"/>
          <w:b/>
          <w:sz w:val="24"/>
          <w:szCs w:val="24"/>
        </w:rPr>
        <w:t>I.Rövid-és hosszú célok meghatározása a gazdaságilag hatékonyabb működés érdekében.</w:t>
      </w:r>
    </w:p>
    <w:p w14:paraId="11BE7175" w14:textId="77777777" w:rsidR="006731D0" w:rsidRPr="006731D0" w:rsidRDefault="006731D0" w:rsidP="005A6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rövid távú célok meghatározásánál elsősorban az a cél, hogy a gazdasági világválság miatt e</w:t>
      </w:r>
      <w:r w:rsidR="00427D49">
        <w:rPr>
          <w:rFonts w:ascii="Times New Roman" w:hAnsi="Times New Roman" w:cs="Times New Roman"/>
          <w:sz w:val="24"/>
          <w:szCs w:val="24"/>
        </w:rPr>
        <w:t>lőttünk álló nehéz időszak alatt</w:t>
      </w:r>
      <w:r>
        <w:rPr>
          <w:rFonts w:ascii="Times New Roman" w:hAnsi="Times New Roman" w:cs="Times New Roman"/>
          <w:sz w:val="24"/>
          <w:szCs w:val="24"/>
        </w:rPr>
        <w:t xml:space="preserve"> biztosítani tudjuk az intézmény működését. A hosszú távú célok amellett, hogy mindezeket magukban foglalják</w:t>
      </w:r>
      <w:r w:rsidR="00427D49">
        <w:rPr>
          <w:rFonts w:ascii="Times New Roman" w:hAnsi="Times New Roman" w:cs="Times New Roman"/>
          <w:sz w:val="24"/>
          <w:szCs w:val="24"/>
        </w:rPr>
        <w:t xml:space="preserve">, a jövőben megvalósításuk esetén az intézmény működését </w:t>
      </w:r>
      <w:r w:rsidR="006C4FDA">
        <w:rPr>
          <w:rFonts w:ascii="Times New Roman" w:hAnsi="Times New Roman" w:cs="Times New Roman"/>
          <w:sz w:val="24"/>
          <w:szCs w:val="24"/>
        </w:rPr>
        <w:t>rentábilisabbá</w:t>
      </w:r>
      <w:r w:rsidR="00427D49">
        <w:rPr>
          <w:rFonts w:ascii="Times New Roman" w:hAnsi="Times New Roman" w:cs="Times New Roman"/>
          <w:sz w:val="24"/>
          <w:szCs w:val="24"/>
        </w:rPr>
        <w:t xml:space="preserve"> teszik. Ezáltal a fenntartónak jelentős összeg megmarad a jelenlegi finanszírozáshoz képest, amelyet más fontos dolgokra tud fordítani a városban. </w:t>
      </w:r>
    </w:p>
    <w:p w14:paraId="52135292" w14:textId="77777777" w:rsidR="006731D0" w:rsidRPr="00DA2F02" w:rsidRDefault="003953C4" w:rsidP="005A6A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02">
        <w:rPr>
          <w:rFonts w:ascii="Times New Roman" w:hAnsi="Times New Roman" w:cs="Times New Roman"/>
          <w:b/>
          <w:sz w:val="24"/>
          <w:szCs w:val="24"/>
        </w:rPr>
        <w:t>II.1. Rövidtávú célok</w:t>
      </w:r>
    </w:p>
    <w:p w14:paraId="4A53864D" w14:textId="77777777" w:rsidR="005A6A10" w:rsidRPr="007D26E3" w:rsidRDefault="003953C4" w:rsidP="007D26E3">
      <w:pPr>
        <w:pStyle w:val="Listaszerbekezds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D26E3">
        <w:rPr>
          <w:rFonts w:ascii="Times New Roman" w:hAnsi="Times New Roman" w:cs="Times New Roman"/>
          <w:sz w:val="24"/>
          <w:szCs w:val="24"/>
        </w:rPr>
        <w:t xml:space="preserve">A házi segítségnyújás régóta nem működött megfelelő kapacitással. Ez azt jelenti, hogy 9 fő ellátására szól a Kormányhivatal engedélye, viszont mindig csak 3 esetleg 4 ellátottal volt megállapodásunk.  Ennek oka összetett. Egyike, hogy az esetek többségében napi több óra gondozást igényelnek, sokszor azt is a nap több szakában, tehát a gondozónak egy címre naponta többször is ki kellene menni. Inkább megoldják magánúton. </w:t>
      </w:r>
    </w:p>
    <w:p w14:paraId="01541AF5" w14:textId="77777777" w:rsidR="005A6A10" w:rsidRDefault="003953C4" w:rsidP="007D26E3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 w:rsidRPr="003953C4">
        <w:rPr>
          <w:rFonts w:ascii="Times New Roman" w:hAnsi="Times New Roman" w:cs="Times New Roman"/>
          <w:sz w:val="24"/>
          <w:szCs w:val="24"/>
        </w:rPr>
        <w:t xml:space="preserve">1 éve teljesen </w:t>
      </w:r>
      <w:r>
        <w:rPr>
          <w:rFonts w:ascii="Times New Roman" w:hAnsi="Times New Roman" w:cs="Times New Roman"/>
          <w:sz w:val="24"/>
          <w:szCs w:val="24"/>
        </w:rPr>
        <w:t xml:space="preserve">nem működik a szolgáltatás. A gondozónő egy évvel ezelőtt </w:t>
      </w:r>
      <w:r w:rsidR="005A6A10">
        <w:rPr>
          <w:rFonts w:ascii="Times New Roman" w:hAnsi="Times New Roman" w:cs="Times New Roman"/>
          <w:sz w:val="24"/>
          <w:szCs w:val="24"/>
        </w:rPr>
        <w:t>elment tartós betegállományba. A</w:t>
      </w:r>
      <w:r>
        <w:rPr>
          <w:rFonts w:ascii="Times New Roman" w:hAnsi="Times New Roman" w:cs="Times New Roman"/>
          <w:sz w:val="24"/>
          <w:szCs w:val="24"/>
        </w:rPr>
        <w:t>z akkor me</w:t>
      </w:r>
      <w:r w:rsidR="0045149E">
        <w:rPr>
          <w:rFonts w:ascii="Times New Roman" w:hAnsi="Times New Roman" w:cs="Times New Roman"/>
          <w:sz w:val="24"/>
          <w:szCs w:val="24"/>
        </w:rPr>
        <w:t xml:space="preserve">glévő gondozottak ellátását </w:t>
      </w:r>
      <w:r>
        <w:rPr>
          <w:rFonts w:ascii="Times New Roman" w:hAnsi="Times New Roman" w:cs="Times New Roman"/>
          <w:sz w:val="24"/>
          <w:szCs w:val="24"/>
        </w:rPr>
        <w:t>nyugdíjas gondozónővel tudtuk megoldani, akivel megbízási szerződést kötöttünk. Az után, hogy ezek az ellátottak elhunytak, vagy bentlakásos intézménybe kerültek</w:t>
      </w:r>
      <w:r w:rsidR="0045149E">
        <w:rPr>
          <w:rFonts w:ascii="Times New Roman" w:hAnsi="Times New Roman" w:cs="Times New Roman"/>
          <w:sz w:val="24"/>
          <w:szCs w:val="24"/>
        </w:rPr>
        <w:t>, nem volt már szükség a helyettesítésre. A</w:t>
      </w:r>
      <w:r w:rsidR="005A6A10">
        <w:rPr>
          <w:rFonts w:ascii="Times New Roman" w:hAnsi="Times New Roman" w:cs="Times New Roman"/>
          <w:sz w:val="24"/>
          <w:szCs w:val="24"/>
        </w:rPr>
        <w:t>z új igénylőket a S</w:t>
      </w:r>
      <w:r w:rsidR="0045149E">
        <w:rPr>
          <w:rFonts w:ascii="Times New Roman" w:hAnsi="Times New Roman" w:cs="Times New Roman"/>
          <w:sz w:val="24"/>
          <w:szCs w:val="24"/>
        </w:rPr>
        <w:t xml:space="preserve">zent Lőrinc Szociális Szolgáltatóhoz irányítottam, hiszen ők is végeznek házi segítségnyújtást. Mindenkit arra kértem, hogy amennyiben az említett szolgáltató nem tudja a kérelmüket befogadni, mindenképpen jöjjenek vissza, mert ellátatlan senki nem maradhat, akkor keresek megoldást. Senki nem jött vissza amiatt, hogy nem vállalták volna az ellátását. A gondozónő betegállománya letelt. Ezek után azzal keresett meg, hogy szeretné a szabadságait időarányosan kivenni, utána pedig közös megegyezéssel a munkaviszonyát szüntessük meg. </w:t>
      </w:r>
    </w:p>
    <w:p w14:paraId="129ADA76" w14:textId="77777777" w:rsidR="00221EEE" w:rsidRPr="007D26E3" w:rsidRDefault="0045149E" w:rsidP="007D26E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D26E3">
        <w:rPr>
          <w:rFonts w:ascii="Times New Roman" w:hAnsi="Times New Roman" w:cs="Times New Roman"/>
          <w:sz w:val="24"/>
          <w:szCs w:val="24"/>
        </w:rPr>
        <w:t>Úgy gondolom, hogy mivel az a tapasztalatom, hogy a Szent Lőrinc Szoc. Szolg. a város házi segítségnyújtás iránti igényét lefedi, ez az alapellátási fela</w:t>
      </w:r>
      <w:r w:rsidR="005A6A10" w:rsidRPr="007D26E3">
        <w:rPr>
          <w:rFonts w:ascii="Times New Roman" w:hAnsi="Times New Roman" w:cs="Times New Roman"/>
          <w:sz w:val="24"/>
          <w:szCs w:val="24"/>
        </w:rPr>
        <w:t>dat</w:t>
      </w:r>
      <w:r w:rsidRPr="007D26E3">
        <w:rPr>
          <w:rFonts w:ascii="Times New Roman" w:hAnsi="Times New Roman" w:cs="Times New Roman"/>
          <w:sz w:val="24"/>
          <w:szCs w:val="24"/>
        </w:rPr>
        <w:t xml:space="preserve"> ellátási szerződéssel átad</w:t>
      </w:r>
      <w:r w:rsidR="005A6A10" w:rsidRPr="007D26E3">
        <w:rPr>
          <w:rFonts w:ascii="Times New Roman" w:hAnsi="Times New Roman" w:cs="Times New Roman"/>
          <w:sz w:val="24"/>
          <w:szCs w:val="24"/>
        </w:rPr>
        <w:t xml:space="preserve">ható lenne számukra. Így egy bért meg tudnánk a költségvetésből spórolni. A munkakör C besorolású gondozóval is megoldható, az említett kolléganő pedig iskolai végzettsége miatt E besorolású, ezért eleve magasabb a bére egy átlagos gondozótól, így éves szinten  </w:t>
      </w:r>
      <w:r w:rsidR="005A6A10" w:rsidRPr="007D26E3">
        <w:rPr>
          <w:rFonts w:ascii="Calibri" w:hAnsi="Calibri" w:cs="Calibri"/>
          <w:color w:val="000000"/>
          <w:sz w:val="24"/>
          <w:szCs w:val="24"/>
        </w:rPr>
        <w:t xml:space="preserve">4.087.644.- </w:t>
      </w:r>
      <w:r w:rsidR="005A6A10" w:rsidRPr="007D26E3">
        <w:rPr>
          <w:rFonts w:ascii="Times New Roman" w:hAnsi="Times New Roman" w:cs="Times New Roman"/>
          <w:color w:val="000000"/>
          <w:sz w:val="24"/>
          <w:szCs w:val="24"/>
        </w:rPr>
        <w:t>forintot tudnánk megtakarítani.</w:t>
      </w:r>
    </w:p>
    <w:p w14:paraId="59BB8FD9" w14:textId="77777777" w:rsidR="00221EEE" w:rsidRPr="00221EEE" w:rsidRDefault="00221EEE" w:rsidP="007D26E3">
      <w:pPr>
        <w:pStyle w:val="Listaszerbekezds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0B8A58E8" w14:textId="77777777" w:rsidR="00221EEE" w:rsidRDefault="00221EEE" w:rsidP="00221EEE">
      <w:pPr>
        <w:pStyle w:val="Listaszerbekezds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Több intézményvezetővel beszélve az a tapasztalatom, hogy az intézmények túlnyomó része csak akkor köt megállapodást a jelentkezővel, ha biztosítva van arról, hogy az intézményi térítési díjat ő vagy</w:t>
      </w:r>
      <w:r w:rsidR="007127BA">
        <w:rPr>
          <w:rFonts w:ascii="Times New Roman" w:hAnsi="Times New Roman" w:cs="Times New Roman"/>
          <w:color w:val="000000"/>
          <w:sz w:val="24"/>
          <w:szCs w:val="24"/>
        </w:rPr>
        <w:t xml:space="preserve"> 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azt vállaló másik személy megfizeti. Még a sokszor elmaradott vidéknek titulált Szabolcs-Szatmár-Bereg megyei idősotthonok is kérnek belépési díjat. Ezt a nagymarosi Gondozási Központ tekintetében is érdemes fontolóra venni. A jogszabály ad arra lehetőséget, hogy az intézményi férőhelyek maximum 50%-ig belépési díjat határozzunk meg. </w:t>
      </w:r>
      <w:r w:rsidR="00DA2F02">
        <w:rPr>
          <w:rFonts w:ascii="Times New Roman" w:hAnsi="Times New Roman" w:cs="Times New Roman"/>
          <w:color w:val="000000"/>
          <w:sz w:val="24"/>
          <w:szCs w:val="24"/>
        </w:rPr>
        <w:t xml:space="preserve">Még akkor is ha emiatt az ellátási területet kiterjesztjük országos szintűre. Sok érdeklődés érkezik az ország minden pontjáról, akik hajlandóak megfizetni a belépési díjat. </w:t>
      </w:r>
    </w:p>
    <w:p w14:paraId="558168A3" w14:textId="77777777" w:rsidR="002A769C" w:rsidRDefault="002A769C" w:rsidP="002A769C">
      <w:pPr>
        <w:pStyle w:val="Listaszerbekezds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98236F" w14:textId="77777777" w:rsidR="002A769C" w:rsidRPr="002A769C" w:rsidRDefault="002A769C" w:rsidP="002A769C">
      <w:pPr>
        <w:pStyle w:val="Listaszerbekezds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nappali ellátást igénybevevők számának bővítése. A COVID-19 miatt nagyon megcsappant az ellátottak száma. A közelmúltban közel 700 idős (70év feletti) embert szólítottunk meg levélben, tájékoztatva a lehetőségről.</w:t>
      </w:r>
    </w:p>
    <w:p w14:paraId="47943A95" w14:textId="77777777" w:rsidR="00DA2F02" w:rsidRPr="00DA2F02" w:rsidRDefault="00DA2F02" w:rsidP="00DA2F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983721" w14:textId="77777777" w:rsidR="00DA2F02" w:rsidRPr="00DA2F02" w:rsidRDefault="002A769C" w:rsidP="00DA2F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DA2F02" w:rsidRPr="00DA2F02">
        <w:rPr>
          <w:rFonts w:ascii="Times New Roman" w:hAnsi="Times New Roman" w:cs="Times New Roman"/>
          <w:b/>
          <w:color w:val="000000"/>
          <w:sz w:val="24"/>
          <w:szCs w:val="24"/>
        </w:rPr>
        <w:t>I.2. A hosszútávú célok</w:t>
      </w:r>
    </w:p>
    <w:p w14:paraId="1687AE07" w14:textId="77777777" w:rsidR="00DA2F02" w:rsidRPr="00DA2F02" w:rsidRDefault="00DA2F02" w:rsidP="00DA2F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 hosszú távú cél mindenképpen az intézmény bővítése 30-35 főre. Ebben az esetben is </w:t>
      </w:r>
      <w:r w:rsidR="007127BA">
        <w:rPr>
          <w:rFonts w:ascii="Times New Roman" w:hAnsi="Times New Roman" w:cs="Times New Roman"/>
          <w:color w:val="000000"/>
          <w:sz w:val="24"/>
          <w:szCs w:val="24"/>
        </w:rPr>
        <w:t xml:space="preserve">fontos a belépési díj megtartása. </w:t>
      </w:r>
      <w:r w:rsidR="00E061B9">
        <w:rPr>
          <w:rFonts w:ascii="Times New Roman" w:hAnsi="Times New Roman" w:cs="Times New Roman"/>
          <w:color w:val="000000"/>
          <w:sz w:val="24"/>
          <w:szCs w:val="24"/>
        </w:rPr>
        <w:t>A jogszabály 100 főre vetítve 24 gondozót ír elő. Ennek értelmében 4 ellátottra jut egy gondozó.</w:t>
      </w:r>
    </w:p>
    <w:p w14:paraId="6E2C0F7E" w14:textId="77777777" w:rsidR="000C7420" w:rsidRDefault="000C7420" w:rsidP="00B8261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szakmai létszámot a következők szerint lehetne összerakni:</w:t>
      </w:r>
    </w:p>
    <w:p w14:paraId="2B5B4385" w14:textId="77777777" w:rsidR="00B82617" w:rsidRPr="000C7420" w:rsidRDefault="00B82617" w:rsidP="00B8261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fő intézményvezető</w:t>
      </w:r>
    </w:p>
    <w:p w14:paraId="673A0AC6" w14:textId="77777777" w:rsidR="00B82617" w:rsidRDefault="00B82617" w:rsidP="00B826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fő vezető </w:t>
      </w:r>
      <w:r w:rsidR="000C7420">
        <w:rPr>
          <w:rFonts w:ascii="Times New Roman" w:hAnsi="Times New Roman" w:cs="Times New Roman"/>
          <w:sz w:val="24"/>
          <w:szCs w:val="24"/>
        </w:rPr>
        <w:t>ápoló</w:t>
      </w:r>
    </w:p>
    <w:p w14:paraId="38BC3661" w14:textId="77777777" w:rsidR="00B82617" w:rsidRDefault="00B82617" w:rsidP="00B826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fő mentálhigiénikus</w:t>
      </w:r>
    </w:p>
    <w:p w14:paraId="277F0906" w14:textId="77777777" w:rsidR="00B82617" w:rsidRDefault="00D022E4" w:rsidP="00B826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82617">
        <w:rPr>
          <w:rFonts w:ascii="Times New Roman" w:hAnsi="Times New Roman" w:cs="Times New Roman"/>
          <w:sz w:val="24"/>
          <w:szCs w:val="24"/>
        </w:rPr>
        <w:t xml:space="preserve"> fő gondozónő</w:t>
      </w:r>
    </w:p>
    <w:p w14:paraId="4F89E03A" w14:textId="77777777" w:rsidR="00B82617" w:rsidRDefault="00B82617" w:rsidP="00B826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fő technikai dolgozó </w:t>
      </w:r>
      <w:r w:rsidR="000C7420">
        <w:rPr>
          <w:rFonts w:ascii="Times New Roman" w:hAnsi="Times New Roman" w:cs="Times New Roman"/>
          <w:sz w:val="24"/>
          <w:szCs w:val="24"/>
        </w:rPr>
        <w:t>(a mi esetünkben takarító és sofőr-karbantartó</w:t>
      </w:r>
      <w:r>
        <w:rPr>
          <w:rFonts w:ascii="Times New Roman" w:hAnsi="Times New Roman" w:cs="Times New Roman"/>
          <w:sz w:val="24"/>
          <w:szCs w:val="24"/>
        </w:rPr>
        <w:t>)</w:t>
      </w:r>
      <w:r w:rsidR="000C7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C01FC" w14:textId="77777777" w:rsidR="000C7420" w:rsidRDefault="000C7420" w:rsidP="00B826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Jelenleg 11 fő közalkalmazott, és 2 állandó megbízási szerződéses gondozóval biztosított az intézmény működése. Gyakorlatilag bérben </w:t>
      </w:r>
      <w:r w:rsidR="00D022E4">
        <w:rPr>
          <w:rFonts w:ascii="Times New Roman" w:hAnsi="Times New Roman" w:cs="Times New Roman"/>
          <w:sz w:val="24"/>
          <w:szCs w:val="24"/>
        </w:rPr>
        <w:t>nem</w:t>
      </w:r>
      <w:r>
        <w:rPr>
          <w:rFonts w:ascii="Times New Roman" w:hAnsi="Times New Roman" w:cs="Times New Roman"/>
          <w:sz w:val="24"/>
          <w:szCs w:val="24"/>
        </w:rPr>
        <w:t xml:space="preserve"> lenne</w:t>
      </w:r>
      <w:r w:rsidR="00D022E4">
        <w:rPr>
          <w:rFonts w:ascii="Times New Roman" w:hAnsi="Times New Roman" w:cs="Times New Roman"/>
          <w:sz w:val="24"/>
          <w:szCs w:val="24"/>
        </w:rPr>
        <w:t xml:space="preserve"> nagy különbség 35 fő ellátottra vetítve.</w:t>
      </w:r>
    </w:p>
    <w:p w14:paraId="0595167D" w14:textId="77777777" w:rsidR="000C7420" w:rsidRDefault="000C7420" w:rsidP="00B826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bevételi oldalon </w:t>
      </w:r>
      <w:r w:rsidR="00D022E4">
        <w:rPr>
          <w:rFonts w:ascii="Times New Roman" w:hAnsi="Times New Roman" w:cs="Times New Roman"/>
          <w:sz w:val="24"/>
          <w:szCs w:val="24"/>
        </w:rPr>
        <w:t xml:space="preserve">viszont 23-szor több normatíva, térítési díj bevétel, és nagyobb feladatalapú támogatás. </w:t>
      </w:r>
    </w:p>
    <w:p w14:paraId="438C694A" w14:textId="77777777" w:rsidR="002A286B" w:rsidRDefault="00D022E4" w:rsidP="00B826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Ilyen mértékű bővítés a jelenlegi ingatlanban nem kivitelezhető, azt mindenképp másik épületben lehet megvalósítani. </w:t>
      </w:r>
      <w:r w:rsidR="002A286B">
        <w:rPr>
          <w:rFonts w:ascii="Times New Roman" w:hAnsi="Times New Roman" w:cs="Times New Roman"/>
          <w:sz w:val="24"/>
          <w:szCs w:val="24"/>
        </w:rPr>
        <w:t>A jogszabályi előírás szerint minden ellátottra 6 m</w:t>
      </w:r>
      <w:r w:rsidR="002A28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286B">
        <w:rPr>
          <w:rFonts w:ascii="Times New Roman" w:hAnsi="Times New Roman" w:cs="Times New Roman"/>
          <w:sz w:val="24"/>
          <w:szCs w:val="24"/>
        </w:rPr>
        <w:t xml:space="preserve"> kell, hogy jusson a lakószobában. Fontosnak tartom, hogy egy nagyobb intézményben az energetikai kialakítások is a hatékony finanszírozásnak megfelel</w:t>
      </w:r>
      <w:r w:rsidR="002A769C">
        <w:rPr>
          <w:rFonts w:ascii="Times New Roman" w:hAnsi="Times New Roman" w:cs="Times New Roman"/>
          <w:sz w:val="24"/>
          <w:szCs w:val="24"/>
        </w:rPr>
        <w:t>ően legyenek biztos</w:t>
      </w:r>
      <w:r w:rsidR="002A286B">
        <w:rPr>
          <w:rFonts w:ascii="Times New Roman" w:hAnsi="Times New Roman" w:cs="Times New Roman"/>
          <w:sz w:val="24"/>
          <w:szCs w:val="24"/>
        </w:rPr>
        <w:t xml:space="preserve">ítva. Van olyan intézmény a látókörömben, ahol minden egyes helyiség klimatizált. Ezzel fűteni is tudnak télen, nincsenek félelmeik a téli hónapoktól. Az intézmény áramellátását </w:t>
      </w:r>
      <w:r w:rsidR="002A769C">
        <w:rPr>
          <w:rFonts w:ascii="Times New Roman" w:hAnsi="Times New Roman" w:cs="Times New Roman"/>
          <w:sz w:val="24"/>
          <w:szCs w:val="24"/>
        </w:rPr>
        <w:t xml:space="preserve">pedig teljes egészében napelemekkel biztosítják. </w:t>
      </w:r>
    </w:p>
    <w:p w14:paraId="7CB01857" w14:textId="77777777" w:rsidR="002A769C" w:rsidRDefault="002A769C" w:rsidP="00B826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Azt gondolom, hogy konkrét számolgatásba belebocsátkozni felelőtlenség lenne olyan konkrétumok ismerete nélkül, mint épületi adottságok, energetika, fűtési lehetőségek</w:t>
      </w:r>
      <w:r w:rsidR="007D26E3">
        <w:rPr>
          <w:rFonts w:ascii="Times New Roman" w:hAnsi="Times New Roman" w:cs="Times New Roman"/>
          <w:sz w:val="24"/>
          <w:szCs w:val="24"/>
        </w:rPr>
        <w:t>, saját konyha vagy vásárolt élelmezés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AA2C75B" w14:textId="77777777" w:rsidR="002A769C" w:rsidRDefault="002A769C" w:rsidP="00B826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Ezért egy személyesen meglátogatott intézmény költségvetési adatait mutatom példaként:</w:t>
      </w:r>
    </w:p>
    <w:p w14:paraId="21C6AA61" w14:textId="77777777" w:rsidR="002A769C" w:rsidRDefault="002A769C" w:rsidP="00B826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3072E" w14:textId="77777777" w:rsidR="00A611CE" w:rsidRDefault="00A611CE" w:rsidP="00B826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7558B" w14:textId="77777777" w:rsidR="007D26E3" w:rsidRPr="002A286B" w:rsidRDefault="007D26E3" w:rsidP="00B826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596334" w14:textId="77777777" w:rsidR="002A769C" w:rsidRPr="00C0767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 w:rsidRPr="002A769C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1D0">
        <w:rPr>
          <w:rFonts w:ascii="Times New Roman" w:hAnsi="Times New Roman" w:cs="Times New Roman"/>
          <w:b/>
          <w:sz w:val="24"/>
          <w:szCs w:val="24"/>
        </w:rPr>
        <w:t>Egy Heves megyei intézmény költségvetése:</w:t>
      </w:r>
    </w:p>
    <w:p w14:paraId="7A3F9415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legnagyobb különbség, hogy a költségvetés 26 bentlakásos ellátottal készült, alapellátás tekintetében hasonló ellátotti létszámokkal rendelkeznek.</w:t>
      </w:r>
    </w:p>
    <w:p w14:paraId="7420F3CB" w14:textId="77777777" w:rsidR="002A769C" w:rsidRPr="00C0767C" w:rsidRDefault="002A769C" w:rsidP="002A769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767C">
        <w:rPr>
          <w:rFonts w:ascii="Times New Roman" w:hAnsi="Times New Roman" w:cs="Times New Roman"/>
          <w:sz w:val="24"/>
          <w:szCs w:val="24"/>
          <w:u w:val="single"/>
        </w:rPr>
        <w:t>Ellátotti létszám:</w:t>
      </w:r>
    </w:p>
    <w:p w14:paraId="2F35B0DA" w14:textId="77777777" w:rsidR="002A769C" w:rsidRPr="00C0767C" w:rsidRDefault="002A769C" w:rsidP="002A76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67C">
        <w:rPr>
          <w:rFonts w:ascii="Times New Roman" w:hAnsi="Times New Roman" w:cs="Times New Roman"/>
          <w:b/>
          <w:sz w:val="24"/>
          <w:szCs w:val="24"/>
        </w:rPr>
        <w:t>Bentlakásos ellátás: 26 fő</w:t>
      </w:r>
    </w:p>
    <w:p w14:paraId="39CE69A5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Nappali ellátás: 6 fő</w:t>
      </w:r>
    </w:p>
    <w:p w14:paraId="3EB7BF99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Szoc. étkezés: 26 fő</w:t>
      </w:r>
    </w:p>
    <w:p w14:paraId="2A3E3690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Házi segítségnyújtás: 5 fő</w:t>
      </w:r>
    </w:p>
    <w:p w14:paraId="2FBFEDF5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61B9">
        <w:rPr>
          <w:rFonts w:ascii="Times New Roman" w:hAnsi="Times New Roman" w:cs="Times New Roman"/>
          <w:sz w:val="24"/>
          <w:szCs w:val="24"/>
          <w:u w:val="single"/>
        </w:rPr>
        <w:t>Humánerőforrás:</w:t>
      </w:r>
    </w:p>
    <w:p w14:paraId="711899F5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fő intézményvezető</w:t>
      </w:r>
    </w:p>
    <w:p w14:paraId="57D7308E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fő vezető gondozónő</w:t>
      </w:r>
    </w:p>
    <w:p w14:paraId="756EAECB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fő mentálhigiénikus</w:t>
      </w:r>
    </w:p>
    <w:p w14:paraId="3234A193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fő gondozónő</w:t>
      </w:r>
    </w:p>
    <w:p w14:paraId="282759BF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fő technikai dolgozó (konyha és takarítás)</w:t>
      </w:r>
    </w:p>
    <w:p w14:paraId="08AAC9F5" w14:textId="77777777" w:rsidR="002A769C" w:rsidRPr="00E061B9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fő házi gondozó</w:t>
      </w:r>
    </w:p>
    <w:p w14:paraId="1B12801E" w14:textId="77777777" w:rsidR="002A769C" w:rsidRPr="009C390F" w:rsidRDefault="002A769C" w:rsidP="002A769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390F">
        <w:rPr>
          <w:rFonts w:ascii="Times New Roman" w:hAnsi="Times New Roman" w:cs="Times New Roman"/>
          <w:sz w:val="24"/>
          <w:szCs w:val="24"/>
          <w:u w:val="single"/>
        </w:rPr>
        <w:t xml:space="preserve">2022. feladatalapú támogatás: </w:t>
      </w:r>
    </w:p>
    <w:p w14:paraId="2FC9B6A5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Bér: 36.000.000.- Ft. (8fő finanszírozása 4.500.000.- Ft. / fő/év)</w:t>
      </w:r>
    </w:p>
    <w:p w14:paraId="6870B72C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Nappali ellátás: 225.630.- Ft./év/ellátott (költségvetés készítésekor 2 fő átlag létszámmal számoltak. Finanszírozás 451.260.- Ft.)</w:t>
      </w:r>
    </w:p>
    <w:p w14:paraId="47300E04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Házi segítségnyújtás (személyi gondozás): 381.130.- Ft./fő/év (költségvetés készítésekor 4 fő átlaggal számoltak) finanszírozás: 1.524.520.- </w:t>
      </w:r>
    </w:p>
    <w:p w14:paraId="19969309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Szociális étkeztetés: 67.810.- Ft. /év/fő (költségvetés készítésekor 12 fő átlaggal számoltak) finanszírozás 813.720.-</w:t>
      </w:r>
    </w:p>
    <w:p w14:paraId="4093831B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Feladatlapú finanszírozás összesen: 38.789.500.-</w:t>
      </w:r>
    </w:p>
    <w:p w14:paraId="76197D8B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Intézményi saját bevétel térítési díjakból: 37.749.000.- </w:t>
      </w:r>
    </w:p>
    <w:p w14:paraId="4AF23C6D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Önkormányzati kiegészítés: 19.966.500.- (úgy hogy a térítési díjak 2019-től be vannak fagyasztva) </w:t>
      </w:r>
    </w:p>
    <w:p w14:paraId="4A04F00C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Összesen finanszírozás+saját bevétel+önkorm. kiegészítés: 96.505.000.-</w:t>
      </w:r>
    </w:p>
    <w:p w14:paraId="3A79DD04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0C86E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Bentlakásos ellátás önkormányzati kiegészítés: havi 1.663.875.- Ft. Egí fő bentlakó ellátottra jutó havi kiegészítés: 59.424.-</w:t>
      </w:r>
    </w:p>
    <w:p w14:paraId="34B605F8" w14:textId="77777777" w:rsidR="002A769C" w:rsidRDefault="002A769C" w:rsidP="002A7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feladatalapú finanszírozást befolyásoló tényezők: </w:t>
      </w:r>
    </w:p>
    <w:p w14:paraId="460FC50C" w14:textId="77777777" w:rsidR="002A769C" w:rsidRDefault="002A769C" w:rsidP="002A769C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létszámváltozás pozitív, negatív irányba</w:t>
      </w:r>
    </w:p>
    <w:p w14:paraId="660741E9" w14:textId="77777777" w:rsidR="002A769C" w:rsidRDefault="002A769C" w:rsidP="002A769C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korrekció </w:t>
      </w:r>
    </w:p>
    <w:p w14:paraId="3F787EB5" w14:textId="77777777" w:rsidR="002A769C" w:rsidRDefault="002A769C" w:rsidP="002A769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Jelenleg várólista: 91 fő</w:t>
      </w:r>
    </w:p>
    <w:p w14:paraId="0CA1B149" w14:textId="77777777" w:rsidR="002A769C" w:rsidRDefault="002A769C" w:rsidP="002A769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Bővítéssel a bentlakásos ellátás 26 főről 33 főre növelik a közeljövőben.</w:t>
      </w:r>
    </w:p>
    <w:p w14:paraId="321AF498" w14:textId="77777777" w:rsidR="002A769C" w:rsidRDefault="002A769C" w:rsidP="002A769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26321A" w14:textId="77777777" w:rsidR="00575C0F" w:rsidRDefault="00023BFA" w:rsidP="00023B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Nagymaros, 2022. szeptember 14.</w:t>
      </w:r>
    </w:p>
    <w:p w14:paraId="075CE2D8" w14:textId="77777777" w:rsidR="00402C50" w:rsidRDefault="00402C50" w:rsidP="00B5066E">
      <w:pPr>
        <w:rPr>
          <w:rFonts w:ascii="Times New Roman" w:hAnsi="Times New Roman" w:cs="Times New Roman"/>
          <w:sz w:val="24"/>
          <w:szCs w:val="24"/>
        </w:rPr>
      </w:pPr>
    </w:p>
    <w:p w14:paraId="11773251" w14:textId="77777777" w:rsidR="00AA6361" w:rsidRDefault="00AA6361" w:rsidP="00B50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Szabóné Revák Mária</w:t>
      </w:r>
    </w:p>
    <w:p w14:paraId="24D20998" w14:textId="77777777" w:rsidR="00AA6361" w:rsidRDefault="00AA6361" w:rsidP="00B50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Intézményvezető</w:t>
      </w:r>
    </w:p>
    <w:sectPr w:rsidR="00AA6361" w:rsidSect="00450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A2F"/>
    <w:multiLevelType w:val="hybridMultilevel"/>
    <w:tmpl w:val="3FA2A354"/>
    <w:lvl w:ilvl="0" w:tplc="F2FC7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F79AA"/>
    <w:multiLevelType w:val="hybridMultilevel"/>
    <w:tmpl w:val="6ABC0FCE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A935800"/>
    <w:multiLevelType w:val="hybridMultilevel"/>
    <w:tmpl w:val="0FF0C8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A1D5D"/>
    <w:multiLevelType w:val="hybridMultilevel"/>
    <w:tmpl w:val="59546E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81572"/>
    <w:multiLevelType w:val="hybridMultilevel"/>
    <w:tmpl w:val="6F5487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F2AEF"/>
    <w:multiLevelType w:val="hybridMultilevel"/>
    <w:tmpl w:val="7F7AEE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A35DB"/>
    <w:multiLevelType w:val="hybridMultilevel"/>
    <w:tmpl w:val="7F08D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332A1"/>
    <w:multiLevelType w:val="hybridMultilevel"/>
    <w:tmpl w:val="7AD47D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71898">
    <w:abstractNumId w:val="7"/>
  </w:num>
  <w:num w:numId="2" w16cid:durableId="73400399">
    <w:abstractNumId w:val="6"/>
  </w:num>
  <w:num w:numId="3" w16cid:durableId="709497288">
    <w:abstractNumId w:val="3"/>
  </w:num>
  <w:num w:numId="4" w16cid:durableId="935869118">
    <w:abstractNumId w:val="4"/>
  </w:num>
  <w:num w:numId="5" w16cid:durableId="357781988">
    <w:abstractNumId w:val="5"/>
  </w:num>
  <w:num w:numId="6" w16cid:durableId="1429081756">
    <w:abstractNumId w:val="0"/>
  </w:num>
  <w:num w:numId="7" w16cid:durableId="119568438">
    <w:abstractNumId w:val="2"/>
  </w:num>
  <w:num w:numId="8" w16cid:durableId="75794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BA"/>
    <w:rsid w:val="00023BFA"/>
    <w:rsid w:val="000425B4"/>
    <w:rsid w:val="0007259B"/>
    <w:rsid w:val="000C377A"/>
    <w:rsid w:val="000C7420"/>
    <w:rsid w:val="000E3EC8"/>
    <w:rsid w:val="00132A0B"/>
    <w:rsid w:val="001F4258"/>
    <w:rsid w:val="00221EEE"/>
    <w:rsid w:val="002A286B"/>
    <w:rsid w:val="002A769C"/>
    <w:rsid w:val="002D30F2"/>
    <w:rsid w:val="002F62EA"/>
    <w:rsid w:val="0030628B"/>
    <w:rsid w:val="00355511"/>
    <w:rsid w:val="00380D00"/>
    <w:rsid w:val="003953C4"/>
    <w:rsid w:val="003A7481"/>
    <w:rsid w:val="003C55B4"/>
    <w:rsid w:val="003C787F"/>
    <w:rsid w:val="003E5505"/>
    <w:rsid w:val="00402C50"/>
    <w:rsid w:val="00427D49"/>
    <w:rsid w:val="00431AEA"/>
    <w:rsid w:val="00450D7B"/>
    <w:rsid w:val="0045149E"/>
    <w:rsid w:val="004A476C"/>
    <w:rsid w:val="004D13EC"/>
    <w:rsid w:val="004E6A05"/>
    <w:rsid w:val="0051749D"/>
    <w:rsid w:val="005465AB"/>
    <w:rsid w:val="00556598"/>
    <w:rsid w:val="00561599"/>
    <w:rsid w:val="00561DFE"/>
    <w:rsid w:val="00575C0F"/>
    <w:rsid w:val="005A2890"/>
    <w:rsid w:val="005A6A10"/>
    <w:rsid w:val="005B4056"/>
    <w:rsid w:val="0061690E"/>
    <w:rsid w:val="00640521"/>
    <w:rsid w:val="006731D0"/>
    <w:rsid w:val="006A1057"/>
    <w:rsid w:val="006C4FDA"/>
    <w:rsid w:val="006F7D15"/>
    <w:rsid w:val="007027A9"/>
    <w:rsid w:val="007127BA"/>
    <w:rsid w:val="00713FF7"/>
    <w:rsid w:val="00744D38"/>
    <w:rsid w:val="007563E8"/>
    <w:rsid w:val="007754F8"/>
    <w:rsid w:val="0078580F"/>
    <w:rsid w:val="007B1B73"/>
    <w:rsid w:val="007B46F2"/>
    <w:rsid w:val="007B6355"/>
    <w:rsid w:val="007D26E3"/>
    <w:rsid w:val="007D4239"/>
    <w:rsid w:val="007D6C98"/>
    <w:rsid w:val="007E25E3"/>
    <w:rsid w:val="00810E8E"/>
    <w:rsid w:val="008161BA"/>
    <w:rsid w:val="0082068A"/>
    <w:rsid w:val="00861455"/>
    <w:rsid w:val="008F3339"/>
    <w:rsid w:val="00906DA7"/>
    <w:rsid w:val="0093463D"/>
    <w:rsid w:val="009B2B8D"/>
    <w:rsid w:val="009C390F"/>
    <w:rsid w:val="009E1979"/>
    <w:rsid w:val="009F4481"/>
    <w:rsid w:val="009F72BA"/>
    <w:rsid w:val="00A00435"/>
    <w:rsid w:val="00A15D81"/>
    <w:rsid w:val="00A33144"/>
    <w:rsid w:val="00A3627E"/>
    <w:rsid w:val="00A611CE"/>
    <w:rsid w:val="00A739C6"/>
    <w:rsid w:val="00A73BD4"/>
    <w:rsid w:val="00A73EEF"/>
    <w:rsid w:val="00AA5C5A"/>
    <w:rsid w:val="00AA614A"/>
    <w:rsid w:val="00AA6361"/>
    <w:rsid w:val="00B00AB5"/>
    <w:rsid w:val="00B5066E"/>
    <w:rsid w:val="00B64346"/>
    <w:rsid w:val="00B82617"/>
    <w:rsid w:val="00BE42A3"/>
    <w:rsid w:val="00BE6C16"/>
    <w:rsid w:val="00C0767C"/>
    <w:rsid w:val="00C44367"/>
    <w:rsid w:val="00C453FF"/>
    <w:rsid w:val="00C62641"/>
    <w:rsid w:val="00C87C17"/>
    <w:rsid w:val="00D022E4"/>
    <w:rsid w:val="00D114AC"/>
    <w:rsid w:val="00D20220"/>
    <w:rsid w:val="00D60A71"/>
    <w:rsid w:val="00D6146C"/>
    <w:rsid w:val="00D902FF"/>
    <w:rsid w:val="00DA2F02"/>
    <w:rsid w:val="00DB2E47"/>
    <w:rsid w:val="00DC7F05"/>
    <w:rsid w:val="00DF0C25"/>
    <w:rsid w:val="00E061B9"/>
    <w:rsid w:val="00E0631F"/>
    <w:rsid w:val="00E32E5F"/>
    <w:rsid w:val="00E452EF"/>
    <w:rsid w:val="00E75DF0"/>
    <w:rsid w:val="00EA3B38"/>
    <w:rsid w:val="00EB5C8C"/>
    <w:rsid w:val="00EC7A25"/>
    <w:rsid w:val="00ED5BEF"/>
    <w:rsid w:val="00F01555"/>
    <w:rsid w:val="00F222C2"/>
    <w:rsid w:val="00F22454"/>
    <w:rsid w:val="00F4086F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5E41"/>
  <w15:docId w15:val="{11CB6907-48BC-4B1B-920A-E36963B1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3B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72B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E42A3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B1B7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B1B7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B1B7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B1B7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B1B73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3A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A7481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C07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@nagymaros.h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C649-6507-4100-A35F-91122909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1073</Words>
  <Characters>7404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dolgozo</dc:creator>
  <cp:lastModifiedBy>Dr Szénásy Andrea</cp:lastModifiedBy>
  <cp:revision>2</cp:revision>
  <cp:lastPrinted>2019-10-18T11:23:00Z</cp:lastPrinted>
  <dcterms:created xsi:type="dcterms:W3CDTF">2022-09-23T11:49:00Z</dcterms:created>
  <dcterms:modified xsi:type="dcterms:W3CDTF">2022-09-23T11:49:00Z</dcterms:modified>
</cp:coreProperties>
</file>